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AF64F9" w:rsidP="00947C0D">
      <w:pPr>
        <w:tabs>
          <w:tab w:val="left" w:pos="8505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7C0D">
        <w:rPr>
          <w:rFonts w:ascii="Times New Roman" w:hAnsi="Times New Roman"/>
          <w:sz w:val="28"/>
          <w:szCs w:val="28"/>
        </w:rPr>
        <w:t>Приложение 3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топливно-энергетического комплекса и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жилищно-коммунального хозяйства Брянской области» </w:t>
      </w: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(индикаторах) государственной программы и их значениях</w:t>
      </w:r>
    </w:p>
    <w:tbl>
      <w:tblPr>
        <w:tblW w:w="16592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04"/>
        <w:gridCol w:w="14"/>
        <w:gridCol w:w="3358"/>
        <w:gridCol w:w="20"/>
        <w:gridCol w:w="10"/>
        <w:gridCol w:w="826"/>
        <w:gridCol w:w="15"/>
        <w:gridCol w:w="10"/>
        <w:gridCol w:w="8"/>
        <w:gridCol w:w="102"/>
        <w:gridCol w:w="1136"/>
        <w:gridCol w:w="14"/>
        <w:gridCol w:w="9"/>
        <w:gridCol w:w="6"/>
        <w:gridCol w:w="8"/>
        <w:gridCol w:w="6"/>
        <w:gridCol w:w="1380"/>
        <w:gridCol w:w="18"/>
        <w:gridCol w:w="6"/>
        <w:gridCol w:w="8"/>
        <w:gridCol w:w="6"/>
        <w:gridCol w:w="1239"/>
        <w:gridCol w:w="17"/>
        <w:gridCol w:w="6"/>
        <w:gridCol w:w="8"/>
        <w:gridCol w:w="1245"/>
        <w:gridCol w:w="16"/>
        <w:gridCol w:w="14"/>
        <w:gridCol w:w="6"/>
        <w:gridCol w:w="1241"/>
        <w:gridCol w:w="15"/>
        <w:gridCol w:w="18"/>
        <w:gridCol w:w="1245"/>
        <w:gridCol w:w="13"/>
        <w:gridCol w:w="18"/>
        <w:gridCol w:w="114"/>
        <w:gridCol w:w="991"/>
        <w:gridCol w:w="11"/>
        <w:gridCol w:w="18"/>
        <w:gridCol w:w="146"/>
        <w:gridCol w:w="111"/>
        <w:gridCol w:w="26"/>
        <w:gridCol w:w="20"/>
        <w:gridCol w:w="825"/>
        <w:gridCol w:w="6"/>
        <w:gridCol w:w="259"/>
        <w:gridCol w:w="28"/>
        <w:gridCol w:w="18"/>
        <w:gridCol w:w="977"/>
        <w:gridCol w:w="236"/>
        <w:gridCol w:w="217"/>
        <w:gridCol w:w="21"/>
      </w:tblGrid>
      <w:tr w:rsidR="00225DA5" w:rsidTr="00117C4E">
        <w:trPr>
          <w:gridAfter w:val="3"/>
          <w:wAfter w:w="474" w:type="dxa"/>
          <w:cantSplit/>
          <w:trHeight w:val="587"/>
          <w:tblHeader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(индикатора), единица измерения</w:t>
            </w:r>
          </w:p>
        </w:tc>
        <w:tc>
          <w:tcPr>
            <w:tcW w:w="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4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color w:val="000000"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225DA5" w:rsidTr="00117C4E">
        <w:trPr>
          <w:gridAfter w:val="3"/>
          <w:wAfter w:w="474" w:type="dxa"/>
          <w:cantSplit/>
          <w:trHeight w:val="969"/>
          <w:tblHeader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2016 год (факт)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(факт)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Default="00915674" w:rsidP="00D708B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915674" w:rsidRPr="009C7603" w:rsidRDefault="00915674" w:rsidP="00AE21F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F7">
              <w:rPr>
                <w:rFonts w:ascii="Times New Roman" w:hAnsi="Times New Roman"/>
                <w:sz w:val="26"/>
                <w:szCs w:val="26"/>
              </w:rPr>
              <w:t>г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од</w:t>
            </w:r>
            <w:r w:rsidR="00AE21F7">
              <w:rPr>
                <w:rFonts w:ascii="Times New Roman" w:hAnsi="Times New Roman"/>
                <w:sz w:val="26"/>
                <w:szCs w:val="26"/>
              </w:rPr>
              <w:t xml:space="preserve">  (факт)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D708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                                      год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                               год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                                  год</w:t>
            </w:r>
          </w:p>
        </w:tc>
      </w:tr>
      <w:tr w:rsidR="00915674" w:rsidTr="00117C4E">
        <w:trPr>
          <w:gridAfter w:val="3"/>
          <w:wAfter w:w="474" w:type="dxa"/>
          <w:cantSplit/>
          <w:trHeight w:val="1137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971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хозяйства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15674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эффективное управление в сфере установленных функций и полномочий.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Доля площади жилищного фонда, обеспеченного всеми видами благоустройства, в общей площади жилищного фонда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63,2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 w:rsidR="00B06B52">
              <w:rPr>
                <w:rFonts w:ascii="Times New Roman" w:hAnsi="Times New Roman"/>
                <w:sz w:val="26"/>
                <w:szCs w:val="26"/>
              </w:rPr>
              <w:t>5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5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690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6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6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 w:rsidP="004E0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90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25DA5" w:rsidTr="00117C4E">
        <w:trPr>
          <w:gridAfter w:val="1"/>
          <w:wAfter w:w="21" w:type="dxa"/>
          <w:cantSplit/>
          <w:trHeight w:val="1695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 этапов (процедур), необходимых для технологического присоединения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117C4E">
        <w:trPr>
          <w:gridAfter w:val="3"/>
          <w:wAfter w:w="474" w:type="dxa"/>
          <w:cantSplit/>
          <w:trHeight w:val="3057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срок подключения потребителей (до 150 кВт) </w:t>
            </w:r>
            <w:proofErr w:type="gramStart"/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 заявки на технологическое присоединение до даты подписания акта о технологическом присоединении</w:t>
            </w:r>
            <w:r w:rsidR="0080630B" w:rsidRPr="00650FE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225DA5" w:rsidTr="00117C4E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650FE9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Объем инвестиций в основной капитал в сфере электроснабжения, (за исключением бюджетных средств)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1003,04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1398,48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</w:t>
            </w:r>
            <w:r w:rsidR="00397DC6">
              <w:rPr>
                <w:rFonts w:ascii="Times New Roman" w:hAnsi="Times New Roman"/>
                <w:sz w:val="26"/>
                <w:szCs w:val="26"/>
              </w:rPr>
              <w:t>18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397DC6">
              <w:rPr>
                <w:rFonts w:ascii="Times New Roman" w:hAnsi="Times New Roman"/>
                <w:sz w:val="26"/>
                <w:szCs w:val="26"/>
              </w:rPr>
              <w:t>89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1383,5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1163,318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1200,345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1297,455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1237,531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117C4E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650FE9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6,99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52FF1" w:rsidP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C52FF1" w:rsidP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473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C52FF1" w:rsidP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473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C52FF1" w:rsidP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473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674" w:rsidRDefault="009156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117C4E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/МВА</w:t>
            </w:r>
          </w:p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226,043/43,56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344,84/147,63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397DC6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260,675/54,65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299,040/26,11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206,54/65,56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202,44/9,5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231,66/12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117C4E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650FE9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 xml:space="preserve">Своевременная разработка нормативно-правовых актов сферы ТЭК и ЖКХ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117C4E">
        <w:trPr>
          <w:gridAfter w:val="1"/>
          <w:wAfter w:w="21" w:type="dxa"/>
          <w:cantSplit/>
          <w:trHeight w:val="4376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702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93E" w:rsidTr="0080630B">
        <w:trPr>
          <w:gridAfter w:val="3"/>
          <w:wAfter w:w="474" w:type="dxa"/>
          <w:cantSplit/>
          <w:trHeight w:val="785"/>
          <w:tblHeader/>
        </w:trPr>
        <w:tc>
          <w:tcPr>
            <w:tcW w:w="161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E" w:rsidRPr="00650FE9" w:rsidRDefault="007029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содействие реформированию жилищно-коммунального хозяйства, создание благоприятных условий проживания граждан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отремонтирован</w:t>
            </w:r>
            <w:proofErr w:type="gramEnd"/>
          </w:p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объектов коммунальной инфраструктуры в общем объеме объектов коммунальной инфраструктуры, запланированных к ремонту за счет средств субсидии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областного бюджета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приобретенной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к общему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техники, запланированной к приобретению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за счет средств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областного бюджета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отремонтирован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ых многоквартирных домов в площади многоквартирных домов, нуждающихся в ремонте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</w:t>
            </w:r>
            <w:r w:rsidR="00B06B52">
              <w:rPr>
                <w:rFonts w:ascii="Times New Roman" w:hAnsi="Times New Roman"/>
                <w:sz w:val="26"/>
                <w:szCs w:val="26"/>
              </w:rPr>
              <w:t>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2,53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6,73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6,83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  площадь отремонтированных многоквартирных домов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971,1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621,73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889,45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1009,25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631,64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507,77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  <w:r w:rsidR="00B06B5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1370</w:t>
            </w:r>
            <w:r w:rsidR="00B06B5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удельного расхода  топлива  на выработку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процента потерь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177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 w:rsidP="00A1063A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обеспечение сохранения объема и качества предоставляемых услуг в сфере тепло- и водоснабжения населения при выведении ГУП «</w:t>
            </w: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>» на безубыточный уровень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650FE9" w:rsidRDefault="00915674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газа на выработку тепловой энергии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-0,1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4</w:t>
            </w:r>
            <w:r w:rsidR="00CC33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1</w:t>
            </w:r>
            <w:r w:rsidR="005B3D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5B3DF1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650FE9" w:rsidRDefault="005B3DF1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электроэнергии на выработку тепловой энергии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-8,8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3030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4E047F" w:rsidP="004E047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B3DF1" w:rsidRPr="00B960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C52FF1" w:rsidP="00C52F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B3DF1" w:rsidRPr="00B960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0</w:t>
            </w:r>
            <w:r w:rsidR="00C52FF1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0</w:t>
            </w:r>
            <w:r w:rsidR="00C52FF1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5B3DF1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650FE9" w:rsidRDefault="005B3DF1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C4E" w:rsidRPr="00650F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объема потерь тепловой энергии в сетях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-6,4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4E047F" w:rsidP="005B3D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B3DF1" w:rsidRPr="006424E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4E047F" w:rsidP="005B3D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B3DF1" w:rsidRPr="006424E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0</w:t>
            </w:r>
            <w:r w:rsidR="004E047F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0</w:t>
            </w:r>
            <w:r w:rsidR="004E047F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B9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  <w:r w:rsidR="0013042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59690C" w:rsidRPr="009C7603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>
              <w:rPr>
                <w:rFonts w:ascii="Times New Roman" w:hAnsi="Times New Roman"/>
                <w:sz w:val="26"/>
                <w:szCs w:val="26"/>
              </w:rPr>
              <w:t>«Реализация п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D66B9">
              <w:rPr>
                <w:rFonts w:ascii="Times New Roman" w:hAnsi="Times New Roman"/>
                <w:sz w:val="26"/>
                <w:szCs w:val="26"/>
              </w:rPr>
              <w:t xml:space="preserve"> «Обеспечение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устойчивого сокращения непригодного для проживания жилищного фонда»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 w:rsidP="00117C4E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расселенного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0,3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585F6F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585F6F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117C4E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AA38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585F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585F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  <w:r w:rsidR="00585F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  <w:r w:rsidR="00585F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рациональное использование топливно-энергетических ресурсов и внедрение технологий энергосбережения 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энергоресурсов государственных (муниципальных) организаций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предупреждение, выявление и пресечение нарушений жилищного законодательства и лицензионных требований к деятельности по управлению многоквартирными домами.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домами.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54,6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98,8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правонарушения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30,0</w:t>
            </w:r>
          </w:p>
          <w:p w:rsidR="00A36E08" w:rsidRPr="00A36E08" w:rsidRDefault="00A36E08" w:rsidP="00A36E08">
            <w:pPr>
              <w:rPr>
                <w:lang w:eastAsia="ru-RU"/>
              </w:rPr>
            </w:pP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1,4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1,1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B06B52" w:rsidRPr="00650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 w:rsidP="00EF0E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результаты которых признаны  недействительными, от общего числа проведенных проверок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9690C" w:rsidTr="00117C4E">
        <w:trPr>
          <w:gridAfter w:val="3"/>
          <w:wAfter w:w="474" w:type="dxa"/>
          <w:cantSplit/>
          <w:trHeight w:val="710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населения Брянской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чистой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питьевой водой</w:t>
            </w:r>
          </w:p>
        </w:tc>
      </w:tr>
      <w:tr w:rsidR="008E6827" w:rsidTr="00117C4E">
        <w:trPr>
          <w:gridAfter w:val="3"/>
          <w:wAfter w:w="474" w:type="dxa"/>
          <w:cantSplit/>
          <w:trHeight w:val="710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650FE9" w:rsidRDefault="008E6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9C7603" w:rsidRDefault="007C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«Чистая вода». </w:t>
            </w:r>
            <w:r w:rsidR="003C4901" w:rsidRPr="003C4901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«Реализация проекта «Чистая вода»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650FE9" w:rsidRDefault="00915674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</w:t>
            </w:r>
            <w:r w:rsidR="00AD620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255E2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89,4</w:t>
            </w:r>
          </w:p>
        </w:tc>
      </w:tr>
      <w:tr w:rsidR="00225DA5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650FE9" w:rsidRDefault="00915674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2</w:t>
            </w:r>
            <w:r w:rsidR="00B06B52" w:rsidRPr="00650F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59690C" w:rsidTr="00117C4E">
        <w:trPr>
          <w:gridAfter w:val="3"/>
          <w:wAfter w:w="474" w:type="dxa"/>
          <w:cantSplit/>
          <w:trHeight w:val="785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650FE9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AB2C4B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программы: осуществление строительства и реконструкции систем водоснабжения для населенных пунктов Брянской области</w:t>
            </w:r>
          </w:p>
        </w:tc>
      </w:tr>
      <w:tr w:rsidR="00AB2C4B" w:rsidTr="00117C4E">
        <w:trPr>
          <w:gridAfter w:val="3"/>
          <w:wAfter w:w="474" w:type="dxa"/>
          <w:cantSplit/>
          <w:trHeight w:val="579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650FE9" w:rsidRDefault="00AB2C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9C7603" w:rsidRDefault="00AB2C4B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2C4B">
              <w:rPr>
                <w:rFonts w:ascii="Times New Roman" w:hAnsi="Times New Roman"/>
                <w:sz w:val="26"/>
                <w:szCs w:val="26"/>
              </w:rPr>
              <w:t>Подпрограма</w:t>
            </w:r>
            <w:proofErr w:type="spellEnd"/>
            <w:r w:rsidRPr="00AB2C4B">
              <w:rPr>
                <w:rFonts w:ascii="Times New Roman" w:hAnsi="Times New Roman"/>
                <w:sz w:val="26"/>
                <w:szCs w:val="26"/>
              </w:rPr>
              <w:t xml:space="preserve"> «Чистая вода»</w:t>
            </w:r>
          </w:p>
        </w:tc>
      </w:tr>
      <w:tr w:rsidR="0080630B" w:rsidTr="00117C4E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B06B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населения, имеющего доступ к централизованным  сетям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  <w:p w:rsidR="00915674" w:rsidRDefault="00915674">
            <w:pPr>
              <w:rPr>
                <w:rFonts w:ascii="Times New Roman" w:hAnsi="Times New Roman"/>
              </w:rPr>
            </w:pPr>
          </w:p>
        </w:tc>
      </w:tr>
      <w:tr w:rsidR="0080630B" w:rsidTr="00117C4E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650FE9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74" w:rsidRPr="00650FE9" w:rsidRDefault="00B06B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15674" w:rsidRPr="00650FE9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уличной водопроводной сети, нуждающейся в замене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FF5509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FF5509">
              <w:rPr>
                <w:rFonts w:ascii="Times New Roman" w:hAnsi="Times New Roman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FF5509">
              <w:rPr>
                <w:rFonts w:ascii="Times New Roman" w:hAnsi="Times New Roman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713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эффективности, устойчивости и  надежности работы очистных сооружений Брянской области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718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и развитие </w:t>
            </w:r>
            <w:proofErr w:type="spellStart"/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эксплуатационн</w:t>
            </w:r>
            <w:r w:rsidR="008E6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="00D255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технического состояния объектов очистки сточных вод в Брянской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Подпрограмма: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«Строительство и реконструкция очистных сооружений в населенных  пунктах Брянской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25DA5" w:rsidTr="00117C4E">
        <w:trPr>
          <w:cantSplit/>
          <w:trHeight w:val="201"/>
          <w:tblHeader/>
        </w:trPr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650FE9" w:rsidRDefault="00915674" w:rsidP="00B06B52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3</w:t>
            </w:r>
            <w:r w:rsidR="00B06B52" w:rsidRPr="00650F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построенных (реконструируемых) объектов очистных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сооружений</w:t>
            </w:r>
            <w:proofErr w:type="gram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Срок до даты подписания актов о технологическом присоединении зависит от готовности потребителя к подключению.</w:t>
      </w:r>
    </w:p>
    <w:p w:rsidR="00747AEC" w:rsidRDefault="0080630B" w:rsidP="00E35B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67457E">
        <w:rPr>
          <w:rFonts w:ascii="Times New Roman" w:hAnsi="Times New Roman"/>
          <w:sz w:val="28"/>
          <w:szCs w:val="28"/>
        </w:rPr>
        <w:t>Нет значений показателя, так как ИПР утверждались на период до 2023 года</w:t>
      </w:r>
      <w:r w:rsidR="00D07E20">
        <w:rPr>
          <w:rFonts w:ascii="Times New Roman" w:hAnsi="Times New Roman"/>
          <w:sz w:val="28"/>
          <w:szCs w:val="28"/>
        </w:rPr>
        <w:t>»</w:t>
      </w:r>
    </w:p>
    <w:p w:rsidR="00540DA4" w:rsidRDefault="00540DA4" w:rsidP="00540D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  <w:sectPr w:rsidR="00540DA4" w:rsidSect="009156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расчета показателей: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50FE9" w:rsidRDefault="00650FE9" w:rsidP="00650FE9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«Доля площади жилищного фонда, обеспеченного всеми видами благоустройства, в общей площади жилищного фонда» определяется на основании данных статистического бюллетеня «Жилищный фонд области (по городам и районам), по формуле:</w:t>
      </w:r>
    </w:p>
    <w:p w:rsidR="00650FE9" w:rsidRDefault="00650FE9" w:rsidP="00650FE9">
      <w:pPr>
        <w:ind w:left="5040" w:hanging="50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Sблаг</w:t>
      </w:r>
      <w:proofErr w:type="spellEnd"/>
      <w:r>
        <w:rPr>
          <w:rFonts w:ascii="Times New Roman" w:hAnsi="Times New Roman"/>
          <w:sz w:val="28"/>
          <w:szCs w:val="28"/>
        </w:rPr>
        <w:t>/S)*100, где: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- удельный вес общей площади жилищного фонда оборудованного 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всеми видами благоустройства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ind w:left="142" w:hanging="1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</w:t>
      </w:r>
      <w:proofErr w:type="gramEnd"/>
      <w:r>
        <w:rPr>
          <w:rFonts w:ascii="Times New Roman" w:hAnsi="Times New Roman"/>
          <w:sz w:val="28"/>
          <w:szCs w:val="28"/>
        </w:rPr>
        <w:t>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площадь жилых помещений, оборудованных всеми видами благоустройства;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S – общая площадь жилых помещений.</w:t>
      </w:r>
    </w:p>
    <w:p w:rsidR="00650FE9" w:rsidRDefault="00650FE9" w:rsidP="00650FE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«Предельное количество этапов (процедур), необходимых для технологического присоединения» определяется следующим образом.</w:t>
      </w:r>
    </w:p>
    <w:p w:rsidR="00650FE9" w:rsidRDefault="00650FE9" w:rsidP="00650FE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Технологическое присоединение представляет собой комплексную процедуру, этапами которой ранее являлись:</w:t>
      </w:r>
    </w:p>
    <w:p w:rsidR="00650FE9" w:rsidRDefault="00650FE9" w:rsidP="00650FE9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заявки на технологическое присоединение;</w:t>
      </w:r>
    </w:p>
    <w:p w:rsidR="00650FE9" w:rsidRDefault="00650FE9" w:rsidP="00650FE9">
      <w:pPr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договора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сторонами договора мероприятий, предусмотренных договором;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получение разрешения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допуск в эксплуатацию объектов заявителя;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осуществление сетевой организацией фактического присоединения объектов заявителя к электрическим сетям;</w:t>
      </w:r>
    </w:p>
    <w:p w:rsidR="00650FE9" w:rsidRDefault="00650FE9" w:rsidP="00650FE9">
      <w:pPr>
        <w:spacing w:after="0" w:line="240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фактический прием (подача) напряжения и мощности (фиксация коммутационного аппарата в положении "включено");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650FE9" w:rsidRDefault="00650FE9" w:rsidP="00650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этапов, необходимых для технологического присоединения, определяется исходя из перечня процедур, регламентированных следующими нормативными правовыми актами: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26 марта 2003 года № 35-ФЗ «Об электроэнергетике»;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Правилами технологического присоединения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от 27.12.2004 № 861 (далее - Правила технологического присоединения);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Постановлениями Правительства Российской Федерации от 22 октября 2012 года № 1075 «О ценообразовании в сфере теплоснабжения» и от 29 декабря 2011 года № 1178 «О ценообразовании в области регулируемых цен (тарифов) в электроэнергетике»; </w:t>
      </w:r>
    </w:p>
    <w:p w:rsidR="00650FE9" w:rsidRDefault="00650FE9" w:rsidP="00650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Методическими указаниями по определению размера платы за технологическое присоединение к электрическим сетям, утвержденными приказом Федеральной антимонопольной службы от 29.08.2017 года  № 1135/17;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24.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предусмотренными вышеперечисленными нормативно-правовыми актами, с 2017 года технологическое присоединение представляет собой комплексную процедуру, состоящую из четырех этапов, а именно: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заявки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договора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сторонами договора мероприятий, предусмотренных договором;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4)подписание актов о технологическом присоединении.</w:t>
      </w:r>
    </w:p>
    <w:p w:rsidR="00650FE9" w:rsidRDefault="00650FE9" w:rsidP="00650FE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 «Предельный срок подключения потребителей (до 150 кВт)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технологическое присоединение до даты подписания акта о технологическом присоединении» определяется как среднее арифметическое сроков подключения по всем заявкам на осуществление технологического присоединения, поступившим в сетевую организацию за отчетный период.</w:t>
      </w:r>
    </w:p>
    <w:p w:rsidR="00650FE9" w:rsidRDefault="00650FE9" w:rsidP="00650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 «Объем инвестиций в основной капитал в сфере электроснабжения, (за исключением бюджетных средств)» определяется на основании утвержденных департаментом топливно-энергетического комплекса и жилищно-коммунального хозяйства Брянской области инвестиционных программ субъектов электроэнергетики.</w:t>
      </w:r>
    </w:p>
    <w:p w:rsidR="00650FE9" w:rsidRDefault="00650FE9" w:rsidP="00650FE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Показатель 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жилья, либо жилищных кооперативов» определяется на основе формы статистического наблюдения № 22-ЖКХ (реформа) «Сведения о структурных 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 июля 2015 года № 305 «Об утверждении статистического инструментария для организации Минстроем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за ходом реформы в жилищно-коммунальной сфере» по формуле:</w:t>
      </w: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D</w:t>
      </w:r>
      <w:proofErr w:type="gramEnd"/>
      <w:r>
        <w:rPr>
          <w:rFonts w:ascii="Times New Roman" w:hAnsi="Times New Roman"/>
          <w:sz w:val="28"/>
          <w:szCs w:val="28"/>
        </w:rPr>
        <w:t>тсж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Ктсж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 x 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тсж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жилья, либо жилищных кооперативов, или иных специализированных потребительских кооперативов;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Ктсж</w:t>
      </w:r>
      <w:proofErr w:type="spellEnd"/>
      <w:r>
        <w:rPr>
          <w:rFonts w:ascii="Times New Roman" w:hAnsi="Times New Roman"/>
          <w:sz w:val="28"/>
          <w:szCs w:val="28"/>
        </w:rPr>
        <w:t xml:space="preserve"> - число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жилья, либо жилищных кооперативов, или иных специализированных потребительских кооперативов;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 - число многоквартирных домов, в которых собственники помещений должны выбрать способ управления домами.</w:t>
      </w:r>
    </w:p>
    <w:p w:rsidR="00650FE9" w:rsidRDefault="00650FE9" w:rsidP="00650FE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«Ввод мощностей в результате технического перевооружения, реконструкции, нового строительства объектов электросетевой инфраструктуры» определяется на основании отчетов об исполнении инвестиционных программ субъектов электроэнергетики.</w:t>
      </w:r>
      <w:r>
        <w:rPr>
          <w:rFonts w:ascii="Times New Roman" w:hAnsi="Times New Roman"/>
          <w:sz w:val="28"/>
          <w:szCs w:val="28"/>
        </w:rPr>
        <w:tab/>
      </w:r>
    </w:p>
    <w:p w:rsidR="00650FE9" w:rsidRDefault="00650FE9" w:rsidP="00650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«Своевременная разработка нормативно-правовых актов сферы ТЭК и ЖКХ»  определяется по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ф /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н*100, где: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>, отражающий своевременную разработку нормативно-правовых актов сферы ТЭК и ЖКХ;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ф – количество разработанных нормативно-правовых актов сферы ТЭК и ЖКХ в соответствующем году;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н - количество нормативно-правовых актов сферы ТЭК и ЖКХ, которое необходимо </w:t>
      </w:r>
      <w:proofErr w:type="gramStart"/>
      <w:r>
        <w:rPr>
          <w:rFonts w:ascii="Times New Roman" w:hAnsi="Times New Roman"/>
          <w:sz w:val="28"/>
          <w:szCs w:val="28"/>
        </w:rPr>
        <w:t>разработать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соответствующем году.</w:t>
      </w:r>
    </w:p>
    <w:p w:rsidR="00650FE9" w:rsidRDefault="00ED328B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0FE9">
        <w:rPr>
          <w:rFonts w:ascii="Times New Roman" w:hAnsi="Times New Roman"/>
          <w:sz w:val="28"/>
          <w:szCs w:val="28"/>
        </w:rPr>
        <w:t>. Показатель «Проведение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ЖКХ» определяется по количеству фактически проведенных семинаров.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32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Показатель «Доля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году»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Котр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в текущем финансовом году;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Котр</w:t>
      </w:r>
      <w:proofErr w:type="spellEnd"/>
      <w:r>
        <w:rPr>
          <w:rFonts w:ascii="Times New Roman" w:hAnsi="Times New Roman"/>
          <w:sz w:val="28"/>
          <w:szCs w:val="28"/>
        </w:rPr>
        <w:t>.  –  количество отремонтированных объектов коммунальной инфраструктуры;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запланированных к ремонту объектов коммунальной инфраструктуры за счет средств субсидии в текущем финансовом году.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D32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Показатель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«Доля приобретенной специализированной техники для предприятий ЖКХ к общему количеству специализированной техники, запланированной к приобретению для предприятий ЖКХ за счет средств субсидии из областного бюджета в текущем финансовом году»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приобретенной коммунальной техники к общему количеству коммунальной техники, запланированной к приобретению за счет средств субсидии в текущем финансовом году;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Кпр</w:t>
      </w:r>
      <w:proofErr w:type="spellEnd"/>
      <w:r>
        <w:rPr>
          <w:rFonts w:ascii="Times New Roman" w:hAnsi="Times New Roman"/>
          <w:sz w:val="28"/>
          <w:szCs w:val="28"/>
        </w:rPr>
        <w:t>.  –  количество приобретенной коммунальной техники;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коммунальной техники, запланированной к приобретению за счет средств субсидии в текущем финансовом году.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Показатель  «Доля площади отремонтированных многоквартирных домов в площади многоквартирных домов, нуждающихся в ремонте» определяется на основании данных региональной программы «Проведение капитального ремонта общего имущества многоквартирных домов на территории Брянской области (2014-2043 годы) и краткосрочных планов её реализации в соответствующем году по формуле:</w:t>
      </w: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>. x 100 (%),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Wотр</w:t>
      </w:r>
      <w:proofErr w:type="spellEnd"/>
      <w:r>
        <w:rPr>
          <w:rFonts w:ascii="Times New Roman" w:hAnsi="Times New Roman"/>
          <w:sz w:val="28"/>
          <w:szCs w:val="28"/>
        </w:rPr>
        <w:t>. – доля площади отремонтированных многоквартирных домов в площади многоквартирных домов, нуждающихся в ремонте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площадь  многоквартирных домов, которые планируется  отремонтировать в соответствующем году в соответствии с краткосрочным планом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годы),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.; 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 xml:space="preserve">. - площадь многоквартирных домов, нуждающихся в ремонте, в соответствии с региональной программой «Проведение капитального ремонта общего имущества многоквартирных домов на территории Брянской области (2014-2043 годы), 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ED3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Показатель «Улучшение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</w:t>
      </w:r>
      <w:r>
        <w:rPr>
          <w:rFonts w:ascii="Times New Roman" w:hAnsi="Times New Roman"/>
          <w:sz w:val="28"/>
          <w:szCs w:val="28"/>
        </w:rPr>
        <w:lastRenderedPageBreak/>
        <w:t>области» (2014-2043 годы),  площадь отремонтированных многоквартирных домов» определяется как отношение планового объема средств из всех источников на финансирование мероприятий по проведению капитального ремонта многоквартирных домов к средней стоимости проведения капитального ремонта в расчете на один квадратный метр общей 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в многоквартирных домах, по формуле:</w:t>
      </w:r>
    </w:p>
    <w:p w:rsidR="00ED328B" w:rsidRDefault="00ED328B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кап. рем.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</w:rPr>
        <w:t xml:space="preserve"> кап. рем.__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*1000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кап. рем.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общая площадь отремонтированных многоквартирных домов,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кап.рем</w:t>
      </w:r>
      <w:proofErr w:type="spellEnd"/>
      <w:r>
        <w:rPr>
          <w:rFonts w:ascii="Times New Roman" w:hAnsi="Times New Roman"/>
          <w:sz w:val="28"/>
          <w:szCs w:val="28"/>
        </w:rPr>
        <w:t>. – плановый объем средств из всех источников на финансирование мероприятий по проведению капитального ремонта многоквартирных домов, рублей;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средняя стоимость проведения капитального ремонта в расчете на один квадратный метр общей площади помещений в многоквартирных домах, рублей.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планируемой и фактически отремонтированной общей площади многоквартирных домов размещаются в общероссийской электронной системе «Реформа ЖКХ».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топлива на выработку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программы» определяется по следующей формуле: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100 -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с/</w:t>
      </w:r>
      <w:proofErr w:type="spellStart"/>
      <w:r>
        <w:rPr>
          <w:rFonts w:ascii="Times New Roman" w:hAnsi="Times New Roman"/>
          <w:sz w:val="28"/>
          <w:szCs w:val="28"/>
        </w:rPr>
        <w:t>Yп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показатель, отражающий снижение удельного расхода топлива на выработку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  - показатель, отражающий удельный расход топлива за соответствующий период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п  - показатель, отражающий удельный расход топлива за предыдущий период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Показатель «Снижение процента потерь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программы» определяется по следующей формуле: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 100 - </w:t>
      </w: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показатель, отражающий снижение потерь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 -  показатель, отражающий потери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- показатель, отражающий потери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за предыдущий период.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D3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газа на выработку тепловой энергии»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100 -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с/</w:t>
      </w:r>
      <w:proofErr w:type="spellStart"/>
      <w:r>
        <w:rPr>
          <w:rFonts w:ascii="Times New Roman" w:hAnsi="Times New Roman"/>
          <w:sz w:val="28"/>
          <w:szCs w:val="28"/>
        </w:rPr>
        <w:t>Yп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>, отражающий снижение удельного расхода газа на выработку тепловой энергии;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газа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п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газа за предыдущий период.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электроэнергии на выработку тепловой энергии»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= 100 -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с/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п*100,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показатель, отражающий снижение удельного расхода электроэнергии на выработку тепловой энергии;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электроэнергии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п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электроэнергии за предыдущий период.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Показатель «Снижение объема потерь тепловой энергии в сетях»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100 - </w:t>
      </w: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показатель, отражающий снижение потерь тепловой энергии в сетях;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 -  показатель, отражающий потери тепловой энергии в сетях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- показатель, отражающий потери тепловой энергии в сетях за соответствующий период.</w:t>
      </w:r>
    </w:p>
    <w:p w:rsidR="00DE3283" w:rsidRDefault="00DE3283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ED328B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650FE9">
        <w:rPr>
          <w:rFonts w:ascii="Times New Roman" w:hAnsi="Times New Roman"/>
          <w:sz w:val="28"/>
          <w:szCs w:val="28"/>
        </w:rPr>
        <w:t>. Сведения о показателе  «Количество расселенного непригодного для проживания жилищного фонда» размещаются в общероссийской электронной системе «Реформа ЖКХ».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Сведения о показателе  «Количество граждан, расселенных из непригодного для проживания жилищного фонда» размещаются в общероссийской электронной системе «Реформа ЖКХ».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Показатель </w:t>
      </w:r>
      <w:r w:rsidR="00842D4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снащен</w:t>
      </w:r>
      <w:r w:rsidR="00842D4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приборами учета энергоресурсов государственных (муниципальных) организаций</w:t>
      </w:r>
      <w:r w:rsidR="00842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А=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общ. * 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показатель, характеризующий оснащенность приборами учета энергоресурсов государственных (муниципальных) организаций;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 – количество приборов учета энергоресурсов, установленных в государственных (муниципальных) организациях;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общ. – общее количество приборов учета, подлежащих установке в государственных (муниципальных) организациях.</w:t>
      </w:r>
      <w:proofErr w:type="gramEnd"/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842D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Доля площади обследованных жилых домов в результате проведения плановых, внеплановых проверок к общей площади жилищного фонда области: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Ds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Sf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Ds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площади обследованных жилых домов в результате проведения плановых, внеплановых проверок к общей площади жилищного фонда области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Sf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фактическая площадь обследованных жилых домов в результате проведения плановых, внеплановых проверок за отчетный период, тыс. кв. м (данные ГЖИ Брянской области по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общая площадь жилищного фонда области, тыс. кв. м, (данные Росстата);</w:t>
      </w:r>
    </w:p>
    <w:p w:rsidR="00650FE9" w:rsidRDefault="00650FE9" w:rsidP="00650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периоде:</w:t>
      </w:r>
    </w:p>
    <w:p w:rsidR="00650FE9" w:rsidRDefault="00650FE9" w:rsidP="00650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Pf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количество исполненных в отчетном периоде предписаний из числа тех, которые должны были быть исполнены в отчетном периоде, ед. (данные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общее количество предписаний по выявленным нарушениям, которые должны были быть исполнены в отчетном периоде, ед. (данные ГЖИ Брянской области 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42D4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 Доля проверок, по итогам которых выявлены правонарушения: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Dpr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Ppr</w:t>
      </w:r>
      <w:proofErr w:type="spellEnd"/>
      <w:r>
        <w:rPr>
          <w:rFonts w:ascii="Times New Roman" w:hAnsi="Times New Roman"/>
          <w:sz w:val="28"/>
          <w:szCs w:val="28"/>
        </w:rPr>
        <w:t>/P * 100, где: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Dpr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проверок, по которым выявлены правонарушения;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Ppr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проведении которых в отчетном периоде были выявлены правонарушения (данные ГЖИ Брянской области по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форме N 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 - общее количество проверок в отчетном периоде (данные ГЖИ Брянской области по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форме N 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Доля выявленных при проведении проверок правонарушений, связанных с неисполнением предписаний: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Dpn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Pfn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Dpn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выявленных при проведении проверок правонарушений, связанных с неисполнением предписаний %;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Pfn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количество неисполненных в отчетном периоде предписаний из числа тех, которые должны были быть исполнены в отчетном периоде, ед. (данные ГЖИ Брянской области по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общее количество предписаний по выявленным нарушениям, которые должны были быть исполнены в отчетном периоде, ед. (данные ГЖИ Брянской области по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Доля проверок, результаты которых признаны недействительными, от общего числа проведенных проверок: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Dn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Pn</w:t>
      </w:r>
      <w:proofErr w:type="spellEnd"/>
      <w:r>
        <w:rPr>
          <w:rFonts w:ascii="Times New Roman" w:hAnsi="Times New Roman"/>
          <w:sz w:val="28"/>
          <w:szCs w:val="28"/>
        </w:rPr>
        <w:t>/P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Dn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проверок, результаты которых признаны недействительными, от общего числа проведенных проверок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Pn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проверок в отчетном периоде, признанных недействительными (данные ГЖИ Брянской области по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форме N1-контроль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 - общее количество проверок в отчетном периоде (данные ГЖИ Брянской области по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форме N1-контроль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Расчетные данные для показателей (индикаторов) государственной жилищной инспекции публикуются на официальном сайте государственной жилищной инспекции Брянской области: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http://gzhi32.ru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C7C70"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6</w:t>
      </w:r>
      <w:r w:rsidRPr="00EC7C70">
        <w:rPr>
          <w:rFonts w:ascii="Times New Roman" w:hAnsi="Times New Roman"/>
          <w:sz w:val="28"/>
          <w:szCs w:val="28"/>
        </w:rPr>
        <w:t>.  Доля населения Брянской области, обеспеченного качественной питьевой водой из систем централизованного водоснабжения: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рассчитан  для Брянской области Минстроем России в Приложении 2 к проекту паспорта федерального проекта «Чистая вода», фактические значения будут определяться на основании сведений, представленных Управлением Федеральной службы по надзору в сфере защиты прав потребителей и благополучия человека по Брянской области.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C7C70"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7</w:t>
      </w:r>
      <w:r w:rsidRPr="00EC7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EC7C70">
        <w:rPr>
          <w:rFonts w:ascii="Times New Roman" w:hAnsi="Times New Roman"/>
          <w:sz w:val="28"/>
          <w:szCs w:val="28"/>
        </w:rPr>
        <w:t>Доля городского населения Брянской области, обеспеченного качественной питьевой водой из систем централизованного водоснабжения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 показатель </w:t>
      </w:r>
      <w:proofErr w:type="spellStart"/>
      <w:r>
        <w:rPr>
          <w:rFonts w:ascii="Times New Roman" w:hAnsi="Times New Roman"/>
          <w:sz w:val="28"/>
          <w:szCs w:val="28"/>
        </w:rPr>
        <w:t>расчитывается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данными Управления Федеральной службы по надзору в сфере защиты прав потребителей и благополучия человека по Брянской области.</w:t>
      </w:r>
    </w:p>
    <w:p w:rsidR="00650FE9" w:rsidRDefault="00842D47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50FE9">
        <w:rPr>
          <w:rFonts w:ascii="Times New Roman" w:hAnsi="Times New Roman"/>
          <w:sz w:val="28"/>
          <w:szCs w:val="28"/>
        </w:rPr>
        <w:t>. Показатель «Доля населения, имеющего доступ к централизованным сетям водоснабжения» определяется на основании данных статистического бюллетеня «Сведения о работе жилищно-коммунальных организаций в условиях реформы по Брянской области» и статистического сборника «Жилищно-коммунальное хозяйство Брянской области»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Чцентр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Ч об. * 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населения, имеющего доступ к централизованным сетям водоснабжения, %;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Чцентр</w:t>
      </w:r>
      <w:proofErr w:type="spellEnd"/>
      <w:r>
        <w:rPr>
          <w:rFonts w:ascii="Times New Roman" w:hAnsi="Times New Roman"/>
          <w:sz w:val="28"/>
          <w:szCs w:val="28"/>
        </w:rPr>
        <w:t>.- численность населения, имеющего доступ к централизованным сетям водоснабжения, чел.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 об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исленность населения Брянской области.</w:t>
      </w:r>
    </w:p>
    <w:p w:rsidR="00650FE9" w:rsidRDefault="00842D47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50FE9">
        <w:rPr>
          <w:rFonts w:ascii="Times New Roman" w:hAnsi="Times New Roman"/>
          <w:sz w:val="28"/>
          <w:szCs w:val="28"/>
        </w:rPr>
        <w:t>. Показатель «Доля уличной водопроводной сети, нуждающейся в замене»  определяется на основании данных статистического сборника «Жилищно-коммунальное хозяйство Брянской области»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Пзам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Побщ</w:t>
      </w:r>
      <w:proofErr w:type="spellEnd"/>
      <w:r>
        <w:rPr>
          <w:rFonts w:ascii="Times New Roman" w:hAnsi="Times New Roman"/>
          <w:sz w:val="28"/>
          <w:szCs w:val="28"/>
        </w:rPr>
        <w:t>. *100,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уличной водопроводной сети, нуждающейся в замене, %;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Пзам</w:t>
      </w:r>
      <w:proofErr w:type="spellEnd"/>
      <w:r>
        <w:rPr>
          <w:rFonts w:ascii="Times New Roman" w:hAnsi="Times New Roman"/>
          <w:sz w:val="28"/>
          <w:szCs w:val="28"/>
        </w:rPr>
        <w:t xml:space="preserve">.  – протяженность уличной водопроводной сети, нуждающейся в замене,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Побщ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протяженность уличной водопроводной сети.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</w:t>
      </w:r>
      <w:r w:rsidR="00842D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Доля построенных (реконструируемых) объектов очистных </w:t>
      </w:r>
      <w:proofErr w:type="gramStart"/>
      <w:r>
        <w:rPr>
          <w:rFonts w:ascii="Times New Roman" w:hAnsi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году),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Кпостр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рек)/ </w:t>
      </w: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Кпостр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рек)  –  количество построенных (реконструируемых) объектов очистных сооружений;</w:t>
      </w:r>
    </w:p>
    <w:p w:rsidR="00D07E20" w:rsidRDefault="00650FE9" w:rsidP="00A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запланированных к строительству (реконструкции) объектов очистных сооружений (за счет средств субсидии, выделяемой в текущем финансовом году)</w:t>
      </w:r>
      <w:r w:rsidR="00AF64F9">
        <w:rPr>
          <w:rFonts w:ascii="Times New Roman" w:hAnsi="Times New Roman"/>
          <w:sz w:val="28"/>
          <w:szCs w:val="28"/>
        </w:rPr>
        <w:t>».</w:t>
      </w: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E20" w:rsidSect="004F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68F"/>
    <w:multiLevelType w:val="hybridMultilevel"/>
    <w:tmpl w:val="A546D9A6"/>
    <w:lvl w:ilvl="0" w:tplc="946EE6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3"/>
    <w:rsid w:val="000B6129"/>
    <w:rsid w:val="000D29DC"/>
    <w:rsid w:val="00117C4E"/>
    <w:rsid w:val="00130421"/>
    <w:rsid w:val="001507FA"/>
    <w:rsid w:val="0016125D"/>
    <w:rsid w:val="00177254"/>
    <w:rsid w:val="00190D62"/>
    <w:rsid w:val="001B5C5D"/>
    <w:rsid w:val="001D66B9"/>
    <w:rsid w:val="001F07F5"/>
    <w:rsid w:val="001F7AF8"/>
    <w:rsid w:val="00225DA5"/>
    <w:rsid w:val="00276A7E"/>
    <w:rsid w:val="002A55AB"/>
    <w:rsid w:val="002D4F25"/>
    <w:rsid w:val="0030303B"/>
    <w:rsid w:val="00333350"/>
    <w:rsid w:val="00334735"/>
    <w:rsid w:val="003421F5"/>
    <w:rsid w:val="00397DC6"/>
    <w:rsid w:val="003C4901"/>
    <w:rsid w:val="00407FF8"/>
    <w:rsid w:val="00420C93"/>
    <w:rsid w:val="004415E2"/>
    <w:rsid w:val="00496E33"/>
    <w:rsid w:val="004C7157"/>
    <w:rsid w:val="004D1C95"/>
    <w:rsid w:val="004D239E"/>
    <w:rsid w:val="004E047F"/>
    <w:rsid w:val="004F5381"/>
    <w:rsid w:val="00500B5F"/>
    <w:rsid w:val="00501334"/>
    <w:rsid w:val="00540DA4"/>
    <w:rsid w:val="00585F6F"/>
    <w:rsid w:val="00587405"/>
    <w:rsid w:val="0059690C"/>
    <w:rsid w:val="005B3DF1"/>
    <w:rsid w:val="005D1548"/>
    <w:rsid w:val="00630DEE"/>
    <w:rsid w:val="00650FE9"/>
    <w:rsid w:val="0067457E"/>
    <w:rsid w:val="00674C29"/>
    <w:rsid w:val="006863BE"/>
    <w:rsid w:val="006901F1"/>
    <w:rsid w:val="006D4DE8"/>
    <w:rsid w:val="006F02E8"/>
    <w:rsid w:val="007003C1"/>
    <w:rsid w:val="0070293E"/>
    <w:rsid w:val="00717112"/>
    <w:rsid w:val="00747AEC"/>
    <w:rsid w:val="00751B36"/>
    <w:rsid w:val="00766C00"/>
    <w:rsid w:val="007809F1"/>
    <w:rsid w:val="007C76A5"/>
    <w:rsid w:val="007F00E7"/>
    <w:rsid w:val="0080630B"/>
    <w:rsid w:val="00826B1D"/>
    <w:rsid w:val="008349F3"/>
    <w:rsid w:val="0084109D"/>
    <w:rsid w:val="00842D47"/>
    <w:rsid w:val="008E54C0"/>
    <w:rsid w:val="008E6827"/>
    <w:rsid w:val="008F3BE5"/>
    <w:rsid w:val="00915674"/>
    <w:rsid w:val="00947C0D"/>
    <w:rsid w:val="00971C0C"/>
    <w:rsid w:val="009A217E"/>
    <w:rsid w:val="009A5700"/>
    <w:rsid w:val="009C7603"/>
    <w:rsid w:val="009D226D"/>
    <w:rsid w:val="00A060C8"/>
    <w:rsid w:val="00A1063A"/>
    <w:rsid w:val="00A221BA"/>
    <w:rsid w:val="00A350B2"/>
    <w:rsid w:val="00A36E08"/>
    <w:rsid w:val="00AA38CC"/>
    <w:rsid w:val="00AA69E3"/>
    <w:rsid w:val="00AB2C4B"/>
    <w:rsid w:val="00AB30DE"/>
    <w:rsid w:val="00AD6209"/>
    <w:rsid w:val="00AE21F7"/>
    <w:rsid w:val="00AF64F9"/>
    <w:rsid w:val="00B06B52"/>
    <w:rsid w:val="00B164F5"/>
    <w:rsid w:val="00B42822"/>
    <w:rsid w:val="00B6554D"/>
    <w:rsid w:val="00BB7ABA"/>
    <w:rsid w:val="00BC10B2"/>
    <w:rsid w:val="00BC61B6"/>
    <w:rsid w:val="00BE0049"/>
    <w:rsid w:val="00C52FF1"/>
    <w:rsid w:val="00CC33D2"/>
    <w:rsid w:val="00D07E20"/>
    <w:rsid w:val="00D15B31"/>
    <w:rsid w:val="00D255E2"/>
    <w:rsid w:val="00D416F0"/>
    <w:rsid w:val="00D54E0B"/>
    <w:rsid w:val="00D708B6"/>
    <w:rsid w:val="00D86BE3"/>
    <w:rsid w:val="00DD2234"/>
    <w:rsid w:val="00DE3283"/>
    <w:rsid w:val="00DE46DF"/>
    <w:rsid w:val="00E33F37"/>
    <w:rsid w:val="00E35BB1"/>
    <w:rsid w:val="00EC0838"/>
    <w:rsid w:val="00EC26D2"/>
    <w:rsid w:val="00EC7C70"/>
    <w:rsid w:val="00ED0BCB"/>
    <w:rsid w:val="00ED328B"/>
    <w:rsid w:val="00ED4840"/>
    <w:rsid w:val="00EF0ED2"/>
    <w:rsid w:val="00EF12BA"/>
    <w:rsid w:val="00F059E0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19421&amp;sub=2000" TargetMode="External"/><Relationship Id="rId13" Type="http://schemas.openxmlformats.org/officeDocument/2006/relationships/hyperlink" Target="http://home.garant.ru/document?id=12019421&amp;sub=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9421&amp;sub=2000" TargetMode="External"/><Relationship Id="rId12" Type="http://schemas.openxmlformats.org/officeDocument/2006/relationships/hyperlink" Target="http://home.garant.ru/document?id=12019421&amp;sub=2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zhi3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document?id=70011676&amp;sub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document?id=70011676&amp;sub=4" TargetMode="External"/><Relationship Id="rId10" Type="http://schemas.openxmlformats.org/officeDocument/2006/relationships/hyperlink" Target="http://home.garant.ru/document?id=70011676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12019421&amp;sub=2000" TargetMode="External"/><Relationship Id="rId14" Type="http://schemas.openxmlformats.org/officeDocument/2006/relationships/hyperlink" Target="http://home.garant.ru/document?id=70011676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649E-41AE-4754-A198-FFE23262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9</cp:revision>
  <cp:lastPrinted>2019-12-07T18:23:00Z</cp:lastPrinted>
  <dcterms:created xsi:type="dcterms:W3CDTF">2019-09-29T11:23:00Z</dcterms:created>
  <dcterms:modified xsi:type="dcterms:W3CDTF">2019-12-07T18:24:00Z</dcterms:modified>
</cp:coreProperties>
</file>